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113</w:t>
      </w:r>
    </w:p>
    <w:p>
      <w:r>
        <w:t>Bundesgericht (BGE), 2010-01-01, DE</w:t>
      </w:r>
    </w:p>
    <w:p>
      <w:r>
        <w:rPr>
          <w:b/>
        </w:rPr>
        <w:t xml:space="preserve">Quelle: </w:t>
      </w:r>
      <w:r>
        <w:t>https://mcp.opencaselaw.ch/entscheid/bge_136 III 113</w:t>
      </w:r>
    </w:p>
    <w:p>
      <w:r>
        <w:t>FR: ATF 136 III 113</w:t>
      </w:r>
    </w:p>
    <w:p>
      <w:r>
        <w:t>IT: DTF 136 III 113</w:t>
      </w:r>
    </w:p>
    <w:p>
      <w:pPr>
        <w:pStyle w:val="Heading2"/>
      </w:pPr>
      <w:r>
        <w:t>Regeste</w:t>
      </w:r>
    </w:p>
    <w:p>
      <w:r>
        <w:t>Regeste Art. 367 und 426 ZGB; Haftung des Beirates. Wer im Rahmen einer kombinierten Beiratschaft die verbeiratete Person innert weniger Jahre das ganze Vermögen verbrauchen lässt, ohne zu intervenieren, verletzt seine Pflicht zur sorgfältigen Vermögensverwaltung und handelt damit widerrechtlich. Keine Möglichkeit einer Vorteilsanrechnung bei fehlendem Konnex mit dem widerrechtlich entstandenen Schaden (E. 3).</w:t>
      </w:r>
    </w:p>
    <w:p>
      <w:pPr>
        <w:pStyle w:val="Heading2"/>
      </w:pPr>
      <w:r>
        <w:t>Erwägungen</w:t>
      </w:r>
    </w:p>
    <w:p>
      <w:r>
        <w:rPr>
          <w:b/>
        </w:rPr>
        <w:t>E. 3</w:t>
      </w:r>
    </w:p>
    <w:p>
      <w:r>
        <w:t>Die Haftung des Beirates richtet sich nach den Bestimmungen über diejenige des Vormundes (Art. 367 Abs. 3 i.V.m. Art. 426 ZGB ; BGE 85 II 464 E. 1 S. 467) und kennt die üblichen Haftungsvoraussetzungen, nämlich Schaden, adäquater Kausalzusammenhang, Widerrechtlichkeit sowie Verschulden ( Art. 426 ZGB ; HANS AEPLI, Die Verantwortlichkeit der vormundschaftlichen Organe [...], 1979, S. 22).</w:t>
      </w:r>
    </w:p>
    <w:p>
      <w:r>
        <w:rPr>
          <w:b/>
        </w:rPr>
        <w:t>E. 3.1</w:t>
      </w:r>
    </w:p>
    <w:p>
      <w:r>
        <w:t>Als der Beschwerdeführer am 1. Dezember 1996 das Amt als Beirat antrat, verfügte B. über ein Wertschriftenvermögen von Fr. 650'000.- (Festgeldanlage von Fr. 100'000.- und Kassenobligationen von Fr. 550'000.-). Bereits Ende 2001 war dieses Kapital vollständig aufgebraucht. Das Kantonsgericht stellte fest, dass das Vermögen anfänglich einen jährlichen Ertrag von Fr. 35'000.- abwarf. Sodann verfügte das Ehepaar über ein Renteneinkommen von Fr. 65'000.- pro Jahr. Das Kantonsgericht erwog, dass der Beirat vor diesem Hintergrund einen jährlichen Vermögensverzehr von Fr. 25'000.- hätte zulassen dürfen, um eine den Umständen entsprechende Lebensführung zu ermöglichen, jedoch ein darüber hinausgehender Vermögensverzehr mit Hinblick auf die Altersvorsorge bzw. Pflegebedürftigkeit von B. nicht statthaft war. Im Übrigen befand es, der Beirat habe nicht auf die Umzonung der Grundstücke und einen damit verbundenen Vermögenszuwachs spekulieren dürfen, und für die Schadensberechnung könne auch nicht einfach die damalige mit der heutigen Vermögenslage verglichen werden, weil zwischen dem Verzehr des Anlagevermögens und dem Wertzuwachs der Grundstücke infolge Umzonung zu Bauland kein Konnex bestehe. Ausgehend von diesen Erwägungen bestimmte es den Schaden auf Fr. 500'000.- (Fr. 650'000.- abzüglich den als zulässig erachteten Vermögensverzehr von Fr. 25'000.- pro Jahr bis zur rechtskräftigen Amtsenthebung).</w:t>
      </w:r>
    </w:p>
    <w:p>
      <w:r>
        <w:rPr>
          <w:b/>
        </w:rPr>
        <w:t>E. 3.1.1</w:t>
      </w:r>
    </w:p>
    <w:p>
      <w:r>
        <w:t>Der Beschwerdeführer macht in erster Linie geltend, im Zeitpunkt der Amtsenthebung sei das Vermögen von B. erheblich grösser gewesen als bei der Amtsübernahme; er habe es folglich vermehrt und könne nicht haftbar sein. BGE 136 III 113 S. 118 Das in diesem Zusammenhang gemachte Vorbringen der Surrogation scheitert bereits daran, dass die Grundstücke nicht aus dem Wertschriftenvermögen erworben wurden, sondern diese B. ab initio bzw. parallel zu den Wertschriften gehörten. Desgleichen geht das Argument der Vorteilsanrechnung an der Sache vorbei, besteht doch zwischen der Vermögenszunahme infolge Überführung der Grundstücke in die Bauzone und der Vermögensabnahme durch Verbrauch des Wertschriftenkapitals kein innerer Zusammenhang, d.h. es fehlt an der für die Vorteilsanrechnung notwendigen Konnexität: Unabhängig vom Wert der Grundstücke wäre das heutige Gesamtvermögen ohne Verzehr dieses Kapitals um Fr. 500'000.- grösser, und massgeblich ist entgegen der Auffassung des Beschwerdeführers nicht die Differenz zwischen dem Vermögensstand bei Amtsantritt und Amtsenthebung, sondern die Differenz zwischen dem Vermögensstand mit und ohne den als unzulässig erachteten Kapitalverzehr.</w:t>
      </w:r>
    </w:p>
    <w:p>
      <w:r>
        <w:rPr>
          <w:b/>
        </w:rPr>
        <w:t>E. 3.1.2</w:t>
      </w:r>
    </w:p>
    <w:p>
      <w:r>
        <w:t>Soweit der Beschwerdeführer vorbringt, ein Teil des verbrauchten Kapitals sei in die Baulandentwicklung geflossen und habe insofern zu einer Vermögenssteigerung beigetragen, handelt es sich um eine neue und damit unzulässige Behauptung, zumal nicht erst der angefochtene Entscheid dazu Anlass gegeben hat ( Art. 99 Abs. 1 BGG ; vgl. auch nicht publ. E. 2.2). Massgeblich ist für das bundesgerichtliche Verfahren somit die kantonale Sachverhaltsfeststellung, dass das gesamte Wertschriftenvermögen - wie vom Beschwerdeführer denn auch ursprünglich vorgebracht - für einen gehobenen Lebensstandard von B. und ihrem Ehemann verbraucht worden und kein Konnex zwischen Kapitalverzehr und Wertsteigerung der Grundstücke gegeben sei ( Art. 105 Abs. 1 BGG ).</w:t>
      </w:r>
    </w:p>
    <w:p>
      <w:r>
        <w:rPr>
          <w:b/>
        </w:rPr>
        <w:t>E. 3.1.3</w:t>
      </w:r>
    </w:p>
    <w:p>
      <w:r>
        <w:t>Wenn der Beschwerdeführer schliesslich geltend macht, das Kantonsgericht habe Art. 43 OR verletzt, weil es bei der Schadensfestsetzung die Verschuldensfrage nicht geprüft habe, so ist auf die nachfolgende E. 3.4 zu verweisen, wonach das Verschulden des Beschwerdeführers schwer wiegt. Im Übrigen gebieten auch Recht und Billigkeit nicht, einen geringeren Schaden anzunehmen: Es trifft zwar zu, dass den Erben von B. nunmehr ein ansehnliches Vermögen zugefallen ist; dieses ist aber ausschliesslich auf die Umzonung zurückzuführen, die nach dem Gesagten in keinem Zusammenhang mit dem Kapitalverzehr steht. B. selbst hat denn auch bis zu ihrem Tod nie von diesem BGE 136 III 113 S. 119 Vermögenszuwachs profitiert, sondern vielmehr den vollumfänglichen Kapitalverzehr zu tragen gehabt. Im Übrigen ist der Beschwerdeführer, was im Zusammenhang mit der von ihm angerufenen Billigkeitsmaxime ebenfalls zu berücksichtigen wäre, nicht etwa in einem altruistischen Sinn für B. tätig geworden; vielmehr hat er das Mandat geradezu an sich gezogen, um im Zusammenhang mit seinen über die von ihm präsidierte N. AG abgewickelten Überbauungsplänen eigennützige Ziele verfolgen zu können, und er hat der Vormundschaftsbehörde gegenüber auch dezidiert geltend gemacht, dass alle beiratschaftlichen Leistungen zum Anwaltstarif abzugelten seien. Vor diesem Hintergrund kann von einer "aufopfernden Tätigkeit", wie der Beschwerdeführer dies geltend macht, keine Rede sein, und lässt sich dem Kantonsgericht auch keine Verletzung von Art. 43 OR vorwerfen, wenn es nicht von schadensausschliessenden oder jedenfalls schadensmildernden Umständen ausgegangen ist.</w:t>
      </w:r>
    </w:p>
    <w:p>
      <w:r>
        <w:rPr>
          <w:b/>
        </w:rPr>
        <w:t>E. 3.2</w:t>
      </w:r>
    </w:p>
    <w:p>
      <w:r>
        <w:t>Der vorstehend beschriebene Schaden ist ein reiner Vermögensschaden. Somit ist kein absolutes Rechtsgut verletzt und die Widerrechtlichkeit nur gegeben, wenn der Beschwerdeführer mit seinem Verhalten gegen den Schutzzweck bestimmter Normen verstossen bzw. die aus einer Garantenstellung fliessenden Handlungspflichten verletzt hat ( BGE 115 II 15 E. 3c S. 20).</w:t>
      </w:r>
    </w:p>
    <w:p>
      <w:r>
        <w:rPr>
          <w:b/>
        </w:rPr>
        <w:t>E. 3.2.1</w:t>
      </w:r>
    </w:p>
    <w:p>
      <w:r>
        <w:t>B. stand unter einer sog. kombinierten Beiratschaft, bei welcher dem Beirat sowohl die Mitwirkung zu bestimmten Geschäften im Sinn von Art. 395 Abs. 1 ZGB als auch die Verwaltung des Mündelvermögens gemäss Art. 395 Abs. 2 ZGB obliegt. Die Verwaltungsbeiratschaft hat eine Beschränkung der Handlungsfähigkeit der verbeirateten Person zur Folge. Nicht anders als bei einer bevormundeten Person ist dem Verbeirateten der Bereich der Vermögensverwaltung gänzlich entzogen (LANGENEGGER, in: Basler Kommentar, Zivilgesetzbuch, Bd. I, 3. Aufl 2006, N. 14 und 17 zu Art. 395 ZGB ; BRIGITTE BACHMANN, Die Beiratschaft [ Art. 395 ZGB ] de lege lata und de lege ferenda, 1990, S. 120). Diesbezüglich hat der Beirat gemäss Art. 395 Abs. 2 i.V.m. Art. 413 Abs. 1 ZGB die Pflicht zur sorgfältigen Verwaltung des Mündelvermögens. Im Vordergrund steht dabei die Erhaltung oder sogar die Mehrung der Substanz (ALBERT GULER, in: Basler Kommentar, a.a.O., N. 3 zu Art. 413 ZGB ; CHRISTOPH CAVIEZEL, Die Vermögensverwaltung durch den Vormund, 1988, S. 202). Geschütztes Rechtsgut ist hier mithin das Vermögen ( BGE 115 II 15 E. 4a S. 20). Dessen Erhalt oder gar Äufnung ist freilich kein Selbstzweck; vielmehr ist das Gesamtinteresse des Verbeirateten BGE 136 III 113 S. 120 bestmöglichst zu wahren und das Vermögen den konkreten Verhältnissen angepasst zu verwalten (CAVIEZEL, a.a.O., S. 216). Das bedeutet, dass der Beirat die Ausgaben für den Verbeirateten so planen muss, dass nach vorsichtiger Schätzung dessen Lebensführung gegen das Lebensende hin keine Beeinträchtigung zu erleiden braucht (CAVIEZEL, a.a.O., S. 222). Zu diesem Zweck ist das Vermögen, soweit es nicht für notwendige oder weitere den konkreten Vermögensverhältnissen angepasste Ausgaben verwendet wird, mündelsicher anzulegen; der Beirat hat sich dabei jeglicher spekulativer Anlagen oder Geschäfte zu enthalten ( BGE 52 II 319 E. 2 S. 321; GULER, a.a.O., N. 5 zu Art. 413 ZGB ).</w:t>
      </w:r>
    </w:p>
    <w:p>
      <w:r>
        <w:rPr>
          <w:b/>
        </w:rPr>
        <w:t>E. 3.2.2</w:t>
      </w:r>
    </w:p>
    <w:p>
      <w:r>
        <w:t>An der soeben dargestellten Rechtslage scheitert die Behauptung des Beschwerdeführers, das Mündelwohl habe es geboten, für B. ein grösstmögliches Mass an Wohlergehen und somit eine gehobene Lebensführung zu ermöglichen. Gerade die Unfähigkeit, vernünftig, d.h. den konkreten Verhältnissen angepasst mit Geld umzugehen, wozu insbesondere auch die Absicherung der im Alter üblicherweise anfallenden Kosten gehört, ist der massgebende Anlass für die Errichtung einer Verwaltungsbeiratschaft. Aus diesem Grund sind insbesondere auch die Literaturhinweise auf die Vermögensverwaltung bei Unmündigen, welche der Beschwerdeführer auf den vorliegenden Fall übertragen haben möchte, nicht einschlägig: Bei Kindern und jungen Erwachsenen steht die (unter Umständen kostenintensive) Ausbildung und nicht die Absicherung von Pflegekosten im Alter im Vordergrund.</w:t>
      </w:r>
    </w:p>
    <w:p>
      <w:r>
        <w:rPr>
          <w:b/>
        </w:rPr>
        <w:t>E. 3.2.3</w:t>
      </w:r>
    </w:p>
    <w:p>
      <w:r>
        <w:t>Im genannten Zusammenhang macht der Beschwerdeführer im Übrigen geltend, als Beirat habe ihm ein grosses Ermessen zugestanden. In dieses dürfe nicht eingegriffen werden und nur ein eigentlicher Ermessensmissbrauch würde Widerrechtlichkeit begründen. Mit dieser Argumentation überspielt der Beschwerdeführer den Kernvorwurf des Kantonsgerichts, er habe überhaupt keine Vorkehrungen getroffen. Hat sich aber der Beirat gar nicht erst um die Vermögensverwaltung gekümmert und insbesondere auch keine bewussten Entscheide getroffen, wie viel an Vermögen pro Jahr oder welche Beträge für einzelne Ereignisse zu verbrauchen sei, sondern hat er den innert wenigen Jahren erfolgten vollständigen Kapitalverzehr tatenlos gewähren lassen, so hat er seine Amtspflichten nicht im Ansatz wahrgenommen (so bereits das im vorliegenden Fall ergangene Urteil 5P.320/2002 vom 16. Oktober 2002 E. 2.3; vgl. sodann das bei BGE 136 III 113 S. 121 CAVIEZEL, a.a.O., S. 247, zitierte Urteil) und hat auch gar nicht erst eine Ermessensbetätigung stattgefunden.</w:t>
      </w:r>
    </w:p>
    <w:p>
      <w:r>
        <w:rPr>
          <w:b/>
        </w:rPr>
        <w:t>E. 3.2.4</w:t>
      </w:r>
    </w:p>
    <w:p>
      <w:r>
        <w:t>Daran ändert auch der Hinweis auf die infolge Einzonung bei den Grundstücken eingetretene Wertvermehrung nichts. Nach dem Gesagten stellen spekulative Geschäfte - mit der Umzonung konnte nach den Feststellungen des Kantonsgerichts nicht gerechnet werden - eine Amtspflichtverletzung dar (vgl. E. 3.2.1). Das Kapitalvermögen war bei der ersten Gemeindeabstimmung weitestgehend und noch vor der zweiten Abstimmung vollständig aufgezehrt. Im Übrigen hat das Kantonsgericht für das Bundesgericht verbindlich festgehalten, dass die Überbaubarkeit selbst in diesem Zeitpunkt keineswegs sicher war, weil zwischen den Eigentümern im Zusammenhang mit Freihaltezonen komplizierte Verträge abzuschliessen waren, die angesichts der unterschiedlichen Interessen der einzelnen Eigentümer jederzeit hätten scheitern können und erst im Frühling 2003 erfolgreich zustande kamen. Das Kantonsgericht zog daraus den zutreffenden Schluss, dass die zulässige Lebenshaltung von B. erst ab diesem Zeitpunkt bzw. ab der Genehmigung der Umzonung durch den Regierungsrat den neuen Verhältnissen hätte angepasst werden dürfen. Entgegen der sinngemässen Darstellung des Beschwerdeführers fällt die Amtspflichtverletzung auch nicht im Nachhinein dadurch weg, dass die Spekulation am Ende aufgegangen ist. Die Handlungen bzw. Unterlassungen bleiben rechtswidrig. Einzig könnte es diesfalls an einem Schaden im Sinn einer Vermögensdifferenz fehlen, soweit zwischen Entreicherung und Bereicherung ein ursächlicher Zusammenhang bestünde, wie es sich gegebenenfalls in dem vom Beschwerdeführer erwähnten Beispiel der (nicht mündelsicheren) Anlage des Vermögens in Aktien verhalten kann. Vorliegend bestand indes zwischen dem Kapitalverzehr und dem Vermögenszuwachs auf den Grundstücken, wie bereits mehrfach festgehalten, kein Konnex.</w:t>
      </w:r>
    </w:p>
    <w:p>
      <w:r>
        <w:rPr>
          <w:b/>
        </w:rPr>
        <w:t>E. 3.2.5</w:t>
      </w:r>
    </w:p>
    <w:p>
      <w:r>
        <w:t>Ebenso wenig verfängt die im gleichen Zusammenhang gemachte Aussage des Beschwerdeführers, seine Amtspflicht habe sich einzig darauf beschränkt, dass B. nicht armengenössig werde, wofür aber angesichts des Renteneinkommens keine Gefahr bestanden habe: Würde diese Argumentation zutreffen, dürfte bei Personen mit gesichertem Renteneinkommen unabhängig von einem konkreten BGE 136 III 113 S. 122 Schwächezustand und Schutzbedürfnis von vornherein nie eine vormundschaftliche Massnahme verhängt werden. Ausschlaggebend ist aber ohnehin, dass die Berechtigung der vorliegend verfügten kombinierten Beiratschaft, gegen die sich der Beschwerdeführer mit seinen Ausführungen materiell wendet, gar nicht Thema des Haftungsprozesses ist: Die Massnahme, gegen welche die üblichen Rechtsmittel offen standen, ist rechtskräftig angeordnet worden und der Beschwerdeführer hat das vormundschaftliche Amt angenommen; damit ist er in alle damit verbundenen Rechte und Pflichten eingetreten. Die wesentlichste Pflicht im Rahmen der Verwaltungsbeiratschaft ist nach dem Gesagten aber gerade die Vermögensfürsorge, und der Beirat kann sich dieser Kernpflicht selbstredend nicht entziehen, indem er dem vollständigen Kapitalverzehr tatenlos zusieht mit dem Hinweis, der Verbeiratete verfüge ja noch über eine existenzsichernde Rente.</w:t>
      </w:r>
    </w:p>
    <w:p>
      <w:r>
        <w:rPr>
          <w:b/>
        </w:rPr>
        <w:t>E. 3.2.6</w:t>
      </w:r>
    </w:p>
    <w:p>
      <w:r>
        <w:t>Soweit der Beschwerdeführer schliesslich sinngemäss vorbringt, B. habe eine luxuriöse Lebensführung gewünscht, ist ihm entgegenzuhalten, dass dem Verbeirateten bei der Verwaltungsbeiratschaft die Handlungsfähigkeit mit Bezug auf die Vermögenssubstanz ex lege entzogen ist (E. 3.2.1), weshalb die Einwilligung des Verletzten als Rechtfertigungsgrund entfällt. Aus dem gleichen Grund kann es auch nicht als treuwidrig angesehen werden, wenn B. nach Verbrauch des Vermögens ihren Beirat eingeklagt hat mit der Begründung, dieser hätte den Vermögensverzehr nicht zulassen dürfen.</w:t>
      </w:r>
    </w:p>
    <w:p>
      <w:r>
        <w:rPr>
          <w:b/>
        </w:rPr>
        <w:t>E. 3.3</w:t>
      </w:r>
    </w:p>
    <w:p>
      <w:r>
        <w:t>Mit seinem Gewährenlassen hat der Beschwerdeführer die ihm nach der Amtsübernahme obliegende Pflicht zur sorgfältigen Vermögensverwaltung (Art. 395 Abs. 2 i.V.m. Art. 413 Abs. 1 ZGB ) sowie die damit verbundenen Garantenstellung ( BGE 115 II 15 E. 3c S. 20) verletzt und damit den eingetretenen Vermögensschaden adäquat kausal verursacht.</w:t>
      </w:r>
    </w:p>
    <w:p>
      <w:r>
        <w:rPr>
          <w:b/>
        </w:rPr>
        <w:t>E. 3.4</w:t>
      </w:r>
    </w:p>
    <w:p>
      <w:r>
        <w:t>Bereits im Urteil 5P.320/2002 E. 2.3, hat das Bundesgericht festgestellt, dass der Beschwerdeführer seine Amtspflicht schlichtweg nicht wahrgenommen hat. Ihm lag einzig an der Einzonung der Grundstücke mit Blick auf die geplante Überbauung, woran er ein persönliches finanzielles Interesse hatte. Hingegen liess er B. und deren Ehemann mit Bezug auf das Wertschriftenvermögen unbekümmert um seine Amtspflichten freie Hand, obwohl er von der Vormundschaftsbehörde mit der Vorgeschichte vertraut und BGE 136 III 113 S. 123 ausdrücklich darauf aufmerksam gemacht wurde, dass die Schwierigkeiten vor allem darin lägen, die Ausgaben von B. in einem vertretbaren Verhältnis zu ihren Einkünften zu halten, und er mit Schreiben der Vormundschaftsbehörde vom 23. Oktober 1998 wegen Zulassen eines übermässigen Vermögensverzehrs zu einer verantwortungsvollen Vermögensverwaltung angehalten wurde. Der Beschwerdeführer nahm folglich in Kauf, dass das Vermögen zufolge seiner Untätigkeit in kurzer Zeit aufgebraucht und für bevorstehende Alterslasten kein Kapital mehr vorhanden sein würde; insofern hat er seine Amtspflichten geradezu eventualvorsätzlich vernachlässigt. Jedenfalls aber hat er durch sein tatenloses Zusehen die elementarsten bzw. ureigensten sich aus dem Amt der kombinierten Beiratschaft ergebenen Schutz- und Fürsorgepflichten in grobfahrlässiger Weise nicht wahrgenommen. Das Verschulden wiegt insgesamt schwer.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